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2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  <w:t>获客截流工具年度服务合作协议</w:t>
      </w:r>
    </w:p>
    <w:p w14:paraId="713D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协议编号：AIPC-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____________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____________</w:t>
      </w:r>
    </w:p>
    <w:p w14:paraId="4E740D1B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甲方：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乙方：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8D51652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0AEE4EF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2B3B44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60F4965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合作内容与服务范围</w:t>
      </w:r>
    </w:p>
    <w:p w14:paraId="3E3BAF2A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乙方为甲方提供「获客截流工具」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台的非独占使用权限，服务包含：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（工具使用权限 + 基础功能更新 + 1 年技术支持）；</w:t>
      </w:r>
    </w:p>
    <w:p w14:paraId="05969EE0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工具功能：支持多平台自动化操作、客户信息采集、多账号并行管理等功能（具体功能以工具实际提供为准）；</w:t>
      </w:r>
    </w:p>
    <w:p w14:paraId="564DB00F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合作期限：工具使用权限期限为终身，技术支持服务期限为__________年（自账号开通日起算）；</w:t>
      </w:r>
    </w:p>
    <w:p w14:paraId="11ABB098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服务交付：乙方在收到甲方全额付款后 3 个工作日内，完成工具账号开通、操作说明提供及 1 次线上操作培训。</w:t>
      </w:r>
    </w:p>
    <w:p w14:paraId="06C73A52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服务费用与支付方式</w:t>
      </w:r>
    </w:p>
    <w:p w14:paraId="505F5C44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基础费用：人民币__________元（大写：______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元整），单价__________元 / 台（含税税率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%）；</w:t>
      </w:r>
    </w:p>
    <w:p w14:paraId="49DAA1A4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续费规则：技术支持服务到期后，甲方可选择续费，续费单价为__________元 / 台 / 年，续费周期不低于 1 年；</w:t>
      </w:r>
    </w:p>
    <w:p w14:paraId="5B8FF033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支付方式：甲方需在协议签订后 3 个工作日内，将费用一次性支付至乙方指定账户（账户信息：开户行__________，账号__________）；</w:t>
      </w:r>
    </w:p>
    <w:p w14:paraId="40A6D708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发票开具：乙方在收到全额费用后 5 个工作日内，向甲方开具合法有效的__________，发票内容为：__________。</w:t>
      </w:r>
    </w:p>
    <w:p w14:paraId="1AF4F70D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知识产权条款</w:t>
      </w:r>
    </w:p>
    <w:p w14:paraId="07A9FF53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「获客截流工具」的全部知识产权（包括但不限于著作权、专利权、商标权、商业秘密等）均归乙方独家所有，甲方仅获得协议约定的非独占使用权限；</w:t>
      </w:r>
    </w:p>
    <w:p w14:paraId="2FC571A3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甲方通过本工具创作、生成的作品（包括但不限于文案、素材等），其知识产权归甲方所有，但甲方创作、使用该作品不得侵犯任何第三方的合法权利；</w:t>
      </w:r>
    </w:p>
    <w:p w14:paraId="340BE587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甲方不得对工具进行反向工程、反编译、破解、修改，不得复制、分发、转让工具的任何部分；</w:t>
      </w:r>
    </w:p>
    <w:p w14:paraId="6AB68673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________________（其他知识产权补充约定）。</w:t>
      </w:r>
    </w:p>
    <w:p w14:paraId="4C503FA1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双方权利与义务</w:t>
      </w:r>
    </w:p>
    <w:p w14:paraId="264B45B1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20" w:leftChars="0" w:firstLine="0" w:firstLineChars="0"/>
        <w:rPr>
          <w:rFonts w:hint="eastAsia" w:ascii="微软雅黑" w:hAnsi="微软雅黑" w:eastAsia="微软雅黑" w:cs="微软雅黑"/>
          <w:b/>
          <w:sz w:val="28"/>
          <w:szCs w:val="28"/>
          <w:bdr w:val="none" w:sz="0" w:space="0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甲方权利与义务</w:t>
      </w:r>
    </w:p>
    <w:p w14:paraId="4235B691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按协议约定使用工具，仅限自身合法经营场景，不得转借、转租、转售工具使用权限；</w:t>
      </w:r>
    </w:p>
    <w:p w14:paraId="06F619BE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提供真实、合法的企业信息，配合乙方完成工具账号开通；</w:t>
      </w:r>
    </w:p>
    <w:p w14:paraId="2A66B7AF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遵守工具使用规范及各平台运营规则，不得利用工具从事违法、违规、侵权行为，否则自行承担全部法律责任；</w:t>
      </w:r>
    </w:p>
    <w:p w14:paraId="45D25230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按时支付服务费用，技术支持到期未续费的，乙方将暂停技术支持服务（不影响工具基础使用）。</w:t>
      </w:r>
    </w:p>
    <w:p w14:paraId="41974043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20" w:leftChars="0" w:firstLine="0" w:firstLineChars="0"/>
        <w:rPr>
          <w:rFonts w:hint="eastAsia" w:ascii="微软雅黑" w:hAnsi="微软雅黑" w:eastAsia="微软雅黑" w:cs="微软雅黑"/>
          <w:b/>
          <w:sz w:val="28"/>
          <w:szCs w:val="28"/>
          <w:bdr w:val="none" w:sz="0" w:space="0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乙方权利与义务</w:t>
      </w:r>
    </w:p>
    <w:p w14:paraId="4FDA5E48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向甲方提供工具使用权限及协议约定的技术支持服务；</w:t>
      </w:r>
    </w:p>
    <w:p w14:paraId="7C974DCF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负责工具的基础功能更新、系统稳定性维护，工作时间（9:00-18:00）内 2 小时响应甲方技术问题；</w:t>
      </w:r>
    </w:p>
    <w:p w14:paraId="2A921AF0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对甲方的企业信息、操作数据予以保密（详见本协议第五条）；</w:t>
      </w:r>
    </w:p>
    <w:p w14:paraId="6F88BE02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保障工具的正常运行，因乙方技术故障导致工具无法使用超过 24 小时的，乙方需按故障时长顺延技术支持服务期限。</w:t>
      </w:r>
    </w:p>
    <w:p w14:paraId="4283C57A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保密条款</w:t>
      </w:r>
    </w:p>
    <w:p w14:paraId="0F7931A3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保密信息范围：__________（包括但不限于对方的企业信息、商业数据、工具功能细节、合作条款等）；</w:t>
      </w:r>
    </w:p>
    <w:p w14:paraId="33690A81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双方均需对保密信息予以严格保密，不得向任何第三方泄露，除非法律要求或经对方书面同意；</w:t>
      </w:r>
    </w:p>
    <w:p w14:paraId="4B41AB03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保密期限：本协议生效之日起至保密信息公开之日止，且不短于协议终止后 5 年；</w:t>
      </w:r>
    </w:p>
    <w:p w14:paraId="4695C75B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任何一方违反保密义务的，需向对方支付合同总金额 20% 的违约金，并赔偿因此造成的全部损失。</w:t>
      </w:r>
    </w:p>
    <w:p w14:paraId="527531A0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不可抗力条款</w:t>
      </w:r>
    </w:p>
    <w:p w14:paraId="7FCE546D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因地震、洪水、火灾、战争、政策变动、网络故障等不可抗力因素导致协议无法履行的，受影响方需在 24 小时内通知对方，并提供相关证明材料；</w:t>
      </w:r>
    </w:p>
    <w:p w14:paraId="0F07F9E6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不可抗力因素影响协议履行的，双方可协商顺延服务期限或部分 / 全部解除协议，互不承担违约责任；</w:t>
      </w:r>
    </w:p>
    <w:p w14:paraId="131DB16F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不可抗力因素消除后，双方应尽快恢复协议履行。</w:t>
      </w:r>
    </w:p>
    <w:p w14:paraId="479DEC55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争议解决条款</w:t>
      </w:r>
    </w:p>
    <w:p w14:paraId="1B4DDD52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因本协议产生的任何争议，双方应首先通过友好协商解决；</w:t>
      </w:r>
    </w:p>
    <w:p w14:paraId="6196B255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协商不成的，任何一方有权向乙方所在地有管辖权的人民法院提起诉讼；</w:t>
      </w:r>
    </w:p>
    <w:p w14:paraId="33ACE77D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争议解决期间，除争议事项外，双方应继续履行协议其他条款。</w:t>
      </w:r>
    </w:p>
    <w:p w14:paraId="27FE8C54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其他条款</w:t>
      </w:r>
    </w:p>
    <w:p w14:paraId="727AA957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本协议一式__________份，甲乙双方各执 1 份，具有同等法律效力，自双方签字盖章且甲方支付费用后生效；</w:t>
      </w:r>
    </w:p>
    <w:p w14:paraId="430CCB02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本协议的任何修改、补充需经双方签字盖章后生效，作为本协议的组成部分；</w:t>
      </w:r>
    </w:p>
    <w:p w14:paraId="4DEE5F0A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协议到期后，甲方未续约的，乙方将在到期后 10 个工作日内保留工具基础使用权限，但不再提供技术支持；</w:t>
      </w:r>
    </w:p>
    <w:p w14:paraId="29021180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本协议未尽事宜，按照《中华人民共和国民法典》《中华人民共和国著作权法》等相关法律法规执行。</w:t>
      </w:r>
    </w:p>
    <w:p w14:paraId="0C668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甲方（盖章）：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</w:r>
      <w:bookmarkStart w:id="0" w:name="_GoBack"/>
      <w:bookmarkEnd w:id="0"/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乙方（盖章）：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</w:p>
    <w:p w14:paraId="49A42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</w:p>
    <w:p w14:paraId="36466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__________年____月____日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  <w:t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__________年____月____日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75C9A"/>
    <w:multiLevelType w:val="multilevel"/>
    <w:tmpl w:val="91875C9A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">
    <w:nsid w:val="938FF50E"/>
    <w:multiLevelType w:val="singleLevel"/>
    <w:tmpl w:val="938FF5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9E7C9210"/>
    <w:multiLevelType w:val="multilevel"/>
    <w:tmpl w:val="9E7C9210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3">
    <w:nsid w:val="B9DD8E14"/>
    <w:multiLevelType w:val="multilevel"/>
    <w:tmpl w:val="B9DD8E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21D64B6"/>
    <w:multiLevelType w:val="multilevel"/>
    <w:tmpl w:val="E21D64B6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5">
    <w:nsid w:val="1DD0BBBD"/>
    <w:multiLevelType w:val="multilevel"/>
    <w:tmpl w:val="1DD0BB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E2834B0"/>
    <w:multiLevelType w:val="multilevel"/>
    <w:tmpl w:val="1E2834B0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7">
    <w:nsid w:val="332EFD48"/>
    <w:multiLevelType w:val="multilevel"/>
    <w:tmpl w:val="332EFD48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8">
    <w:nsid w:val="344A7439"/>
    <w:multiLevelType w:val="multilevel"/>
    <w:tmpl w:val="344A7439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9">
    <w:nsid w:val="52A38DBE"/>
    <w:multiLevelType w:val="multilevel"/>
    <w:tmpl w:val="52A38DBE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0">
    <w:nsid w:val="76BF1C1A"/>
    <w:multiLevelType w:val="singleLevel"/>
    <w:tmpl w:val="76BF1C1A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209"/>
    <w:rsid w:val="026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2026-02-05T13:04:00Z</dcterms:created>
  <dc:creator>庄武</dc:creator>
  <cp:lastModifiedBy>庄武</cp:lastModifiedBy>
  <dcterms:modified xsi:type="dcterms:W3CDTF">2026-02-05T13:10:50Z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A50351499BA64731BDB8BD14E7682F70_11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